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BEF" w14:textId="7ECA15A1" w:rsidR="00F9078E" w:rsidRPr="00987AD1" w:rsidRDefault="00DF359B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bookmarkStart w:id="0" w:name="_GoBack"/>
      <w:bookmarkEnd w:id="0"/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987AD1" w:rsidRDefault="00FB7009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09E4EE26" w14:textId="7371DE85" w:rsidR="00E54F44" w:rsidRPr="00987AD1" w:rsidRDefault="00E54F44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987AD1" w:rsidRDefault="00E54F44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41A7AE84" w14:textId="1BE1FEA0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>Działanie FENX.01.0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4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  <w:r w:rsidR="00DD34E4" w:rsidRPr="00987AD1">
        <w:rPr>
          <w:rFonts w:ascii="Open Sans Light" w:hAnsi="Open Sans Light" w:cs="Open Sans Light"/>
        </w:rPr>
        <w:t xml:space="preserve">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Gospodarka odpadami oraz gospodarka o obiegu zamkniętym</w:t>
      </w:r>
    </w:p>
    <w:p w14:paraId="58DEDFBC" w14:textId="362FB498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F90DE5" w:rsidRPr="00F90DE5">
        <w:rPr>
          <w:rFonts w:ascii="Open Sans Light" w:hAnsi="Open Sans Light" w:cs="Open Sans Light"/>
          <w:color w:val="000000"/>
          <w:sz w:val="24"/>
          <w:szCs w:val="24"/>
        </w:rPr>
        <w:t>Zapobieganie powstawaniu odpadów żywności poprzez wykorzystanie niesprzedanych produktów spożywczych lub produktów spożywczych o krótkim terminie przydatności do spożycia</w:t>
      </w:r>
    </w:p>
    <w:p w14:paraId="779BF036" w14:textId="345B481F" w:rsidR="00F47ADD" w:rsidRPr="00987AD1" w:rsidRDefault="00F47ADD" w:rsidP="00987AD1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987AD1" w:rsidRDefault="00F47ADD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5388E323" w:rsidR="00DD34E4" w:rsidRPr="00987AD1" w:rsidRDefault="00DD34E4" w:rsidP="00A31A0E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Studium wykonalności dla projektu zawierające analizę kosztów i korzyści wraz z arkuszem kalkulacyjnym zawierającym model finansowo–ekonomiczny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38C8C9F8" w14:textId="1D11445D" w:rsidR="00DD34E4" w:rsidRPr="00987AD1" w:rsidRDefault="00DD34E4" w:rsidP="00A31A0E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wraz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z opisem/legendą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wymagany.</w:t>
      </w:r>
    </w:p>
    <w:p w14:paraId="3E85DB96" w14:textId="76FE6FAA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2021B15C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z przeprowadzonym postępowaniem ws. oceny oddziaływania na środowisko, zgodna z dyrektywą Parlamentu Europejskiego i Rady z dnia 27 czerwca 2001 r. nr 2001/42/WE oraz dyrektywa Parlamentu Europejskiego i Rady z dnia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13 grudnia 2011 r. nr 2011/92/UE (ze zmianami) - wymagany;</w:t>
      </w:r>
    </w:p>
    <w:p w14:paraId="6A80AD69" w14:textId="0CBE9E10" w:rsidR="00AF6091" w:rsidRPr="00987AD1" w:rsidRDefault="00AF6091" w:rsidP="00987AD1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organu odpowiedzialnego za monitorowanie obszarów Natura 2000 – </w:t>
      </w:r>
      <w:r w:rsidR="00BB6FF0">
        <w:rPr>
          <w:rFonts w:ascii="Open Sans Light" w:hAnsi="Open Sans Light" w:cs="Open Sans Light"/>
          <w:sz w:val="24"/>
          <w:szCs w:val="24"/>
        </w:rPr>
        <w:t>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5A7483AE" w14:textId="08FD6F6D" w:rsidR="00AF6091" w:rsidRPr="00987AD1" w:rsidRDefault="00AF6091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właściwego organu odpowiedzialnego za gospodarkę wodną – opcjonalny.</w:t>
      </w:r>
    </w:p>
    <w:p w14:paraId="7DA86A28" w14:textId="466878DF" w:rsidR="000200EE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07C294CC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Wykaz dokumentów gromadzonych w celu potwierdzenia spełnienia zasady DNSH w całym cyklu życia projektu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C1DA0F2" w14:textId="10AAD699" w:rsidR="0035339B" w:rsidRPr="00987AD1" w:rsidRDefault="0035339B" w:rsidP="00F90899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 xml:space="preserve">Decyzja o środowiskowych uwarunkowaniach dla projektu lub postanowienie o braku konieczności wydania ww. decyzji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F90899">
        <w:rPr>
          <w:rFonts w:ascii="Open Sans Light" w:hAnsi="Open Sans Light" w:cs="Open Sans Light"/>
          <w:sz w:val="24"/>
          <w:szCs w:val="24"/>
        </w:rPr>
        <w:t xml:space="preserve"> </w:t>
      </w:r>
      <w:r w:rsidR="003570B6">
        <w:rPr>
          <w:rFonts w:ascii="Open Sans Light" w:hAnsi="Open Sans Light" w:cs="Open Sans Light"/>
          <w:sz w:val="24"/>
          <w:szCs w:val="24"/>
        </w:rPr>
        <w:t>opcjonalny</w:t>
      </w:r>
    </w:p>
    <w:p w14:paraId="0A59D150" w14:textId="04F7723E" w:rsidR="00DD34E4" w:rsidRPr="00987AD1" w:rsidRDefault="00DD34E4" w:rsidP="00A31A0E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87553E3" w14:textId="23E67304" w:rsidR="004A2C35" w:rsidRPr="00987AD1" w:rsidRDefault="00183A7B" w:rsidP="00A31A0E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120CF26E" w:rsidR="008F7874" w:rsidRPr="00987AD1" w:rsidRDefault="00183A7B" w:rsidP="00A31A0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38ADF497" w:rsidR="006C6EF7" w:rsidRPr="00987AD1" w:rsidRDefault="00183A7B" w:rsidP="00F9089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5AD726A9" w:rsidR="008021B6" w:rsidRPr="00987AD1" w:rsidRDefault="00183A7B" w:rsidP="00F9089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7C20D7">
        <w:rPr>
          <w:rFonts w:ascii="Open Sans Light" w:hAnsi="Open Sans Light" w:cs="Open Sans Light"/>
          <w:sz w:val="24"/>
          <w:szCs w:val="24"/>
        </w:rPr>
        <w:t>, lub statut jednostki zawierający upoważnienie do działania w ww. zakresie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0AF302CE" w:rsidR="0029501E" w:rsidRPr="00987AD1" w:rsidRDefault="00467B31" w:rsidP="00F9089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27BF5169" w:rsidR="00AE1AF1" w:rsidRPr="00987AD1" w:rsidRDefault="00AE1AF1" w:rsidP="00F9089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0C2A841" w:rsidR="00551FDD" w:rsidRPr="00987AD1" w:rsidRDefault="0053715A" w:rsidP="00F9089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16BD8707" w:rsidR="00AE1AF1" w:rsidRPr="00987AD1" w:rsidRDefault="00AE1AF1" w:rsidP="00F9089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7FF1E0F8" w:rsidR="00E60B91" w:rsidRPr="00987AD1" w:rsidRDefault="001935C4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7D508A98" w:rsidR="00E60B91" w:rsidRPr="00987AD1" w:rsidRDefault="0023048D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</w:t>
      </w:r>
      <w:r w:rsidR="00F90899">
        <w:rPr>
          <w:rFonts w:ascii="Open Sans Light" w:hAnsi="Open Sans Light" w:cs="Open Sans Light"/>
          <w:bCs/>
          <w:sz w:val="24"/>
          <w:szCs w:val="24"/>
        </w:rPr>
        <w:t xml:space="preserve">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15E1D6D7" w:rsidR="00E60B91" w:rsidRPr="00987AD1" w:rsidRDefault="0010398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Style w:val="font-weight-bold"/>
          <w:rFonts w:ascii="Open Sans Light" w:hAnsi="Open Sans Light" w:cs="Open Sans Light"/>
          <w:sz w:val="24"/>
          <w:szCs w:val="24"/>
        </w:rPr>
        <w:t>–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Pr="00987AD1" w:rsidRDefault="00BB6C72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5C2E646B" w14:textId="5FE6BA1E" w:rsidR="00094932" w:rsidRPr="00987AD1" w:rsidRDefault="00B15B66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br/>
      </w:r>
      <w:r w:rsidR="00F90899" w:rsidRP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–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 xml:space="preserve">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5D4B4AFE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19080F52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26CF020E" w14:textId="2C88D960" w:rsidR="009F03DF" w:rsidRPr="00987AD1" w:rsidRDefault="002021CD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rar,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xlsx lub xlsm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1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1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215F57C4" w14:textId="61B6C761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0BB186" w14:textId="27A640FE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018058C" w14:textId="2499AB5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4E2C00" w14:textId="6FFAD33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485CF4F" w14:textId="1C6EB39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DEC4992" w14:textId="4CCF5C3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A10FB86" w14:textId="088E2C35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42AFA4" w14:textId="0658FDE0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F101EF1" w14:textId="487FCF9A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A4C2ECB" w14:textId="07AC188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035093E" w14:textId="3DB07D7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C943E0" w14:textId="623DAA7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2C152A5" w14:textId="7D8C85B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78F66DA" w14:textId="77777777" w:rsidR="00987AD1" w:rsidRPr="00987AD1" w:rsidRDefault="00987AD1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F27ED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040B8232" w14:textId="2B08DA1A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Zakres studium wykonalności dla przedsięwzięć inwestycyjnych</w:t>
      </w:r>
    </w:p>
    <w:p w14:paraId="488E7C80" w14:textId="77777777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Dotyczących gospodarki odpadami</w:t>
      </w:r>
    </w:p>
    <w:p w14:paraId="1D4B0727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625E36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Działanie FENX.01.04 Gospodarka odpadami oraz gospodarka o obiegu zamkniętym</w:t>
      </w:r>
    </w:p>
    <w:p w14:paraId="534BF36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3C675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0F9AD9C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4F9D998E" w14:textId="317EF4B4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</w:t>
      </w:r>
      <w:r w:rsidR="005E61B1" w:rsidRPr="00987AD1">
        <w:rPr>
          <w:rFonts w:ascii="Open Sans Light" w:hAnsi="Open Sans Light" w:cs="Open Sans Light"/>
        </w:rPr>
        <w:t>d</w:t>
      </w:r>
      <w:r w:rsidRPr="00987AD1">
        <w:rPr>
          <w:rFonts w:ascii="Open Sans Light" w:hAnsi="Open Sans Light" w:cs="Open Sans Light"/>
        </w:rPr>
        <w:t>otyczy)</w:t>
      </w:r>
    </w:p>
    <w:p w14:paraId="6C18CF1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0ECCFAB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68BB57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761AE64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01024AF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5003306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256512F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3194BB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5F2EB5DF" w14:textId="0DC0FB7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</w:t>
      </w:r>
      <w:r w:rsidR="00F90899">
        <w:rPr>
          <w:rFonts w:ascii="Open Sans Light" w:hAnsi="Open Sans Light" w:cs="Open Sans Light"/>
        </w:rPr>
        <w:br/>
        <w:t xml:space="preserve">                 </w:t>
      </w:r>
      <w:r w:rsidRPr="00987AD1">
        <w:rPr>
          <w:rFonts w:ascii="Open Sans Light" w:hAnsi="Open Sans Light" w:cs="Open Sans Light"/>
        </w:rPr>
        <w:t xml:space="preserve"> w zakresie ochrony środowiska </w:t>
      </w:r>
    </w:p>
    <w:p w14:paraId="1CCB7D93" w14:textId="5609B9D5" w:rsidR="00DF359B" w:rsidRPr="00987AD1" w:rsidRDefault="00DF359B" w:rsidP="00A31A0E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459D354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3B11226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1B61CC2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11E2660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35714D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1.6. Wyniki analizy finansowej </w:t>
      </w:r>
    </w:p>
    <w:p w14:paraId="56CA0A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1.7. Plan finansowania przedsięwzięcia</w:t>
      </w:r>
    </w:p>
    <w:p w14:paraId="20057D0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1.8. Wyniki analizy trwałości finansowej</w:t>
      </w:r>
    </w:p>
    <w:p w14:paraId="0D9B4407" w14:textId="29D7F35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1.9. Wyniki analizy kosztów i korzyści </w:t>
      </w:r>
      <w:r w:rsidR="00AE07E3">
        <w:rPr>
          <w:rFonts w:ascii="Open Sans Light" w:hAnsi="Open Sans Light" w:cs="Open Sans Light"/>
        </w:rPr>
        <w:t>(o ile dotyczy)</w:t>
      </w:r>
    </w:p>
    <w:p w14:paraId="188D6E07" w14:textId="3F7BDD52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1.10. Wyniki analizy ryzyka </w:t>
      </w:r>
    </w:p>
    <w:p w14:paraId="04C2BF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1.11. Komplementarność przedsięwzięcia względem innych projektów</w:t>
      </w:r>
    </w:p>
    <w:p w14:paraId="3E463E8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27DA577A" w14:textId="0DE66B82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2. Opis istniejącego systemu </w:t>
      </w:r>
      <w:r w:rsidR="001E487C">
        <w:rPr>
          <w:rFonts w:ascii="Open Sans Light" w:hAnsi="Open Sans Light" w:cs="Open Sans Light"/>
          <w:b/>
        </w:rPr>
        <w:t>zapobiegania powstawania odpadów żywności</w:t>
      </w:r>
    </w:p>
    <w:p w14:paraId="44296DF0" w14:textId="7F497477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</w:t>
      </w:r>
    </w:p>
    <w:p w14:paraId="046B61DD" w14:textId="40060439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</w:t>
      </w:r>
      <w:r w:rsidR="001E487C">
        <w:rPr>
          <w:rFonts w:ascii="Open Sans Light" w:hAnsi="Open Sans Light" w:cs="Open Sans Light"/>
        </w:rPr>
        <w:t>1</w:t>
      </w:r>
      <w:r w:rsidRPr="00987AD1">
        <w:rPr>
          <w:rFonts w:ascii="Open Sans Light" w:hAnsi="Open Sans Light" w:cs="Open Sans Light"/>
        </w:rPr>
        <w:t xml:space="preserve">. Parametry ilościowe i jakościowe w istniejącym systemie </w:t>
      </w:r>
      <w:r w:rsidR="001E487C">
        <w:rPr>
          <w:rFonts w:ascii="Open Sans Light" w:hAnsi="Open Sans Light" w:cs="Open Sans Light"/>
        </w:rPr>
        <w:t>zapobiegania powstawania odpadów żywności</w:t>
      </w:r>
    </w:p>
    <w:p w14:paraId="26960E50" w14:textId="41DCD67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</w:t>
      </w:r>
      <w:r w:rsidR="001E487C">
        <w:rPr>
          <w:rFonts w:ascii="Open Sans Light" w:hAnsi="Open Sans Light" w:cs="Open Sans Light"/>
        </w:rPr>
        <w:t>2</w:t>
      </w:r>
      <w:r w:rsidRPr="00987AD1">
        <w:rPr>
          <w:rFonts w:ascii="Open Sans Light" w:hAnsi="Open Sans Light" w:cs="Open Sans Light"/>
        </w:rPr>
        <w:t xml:space="preserve">. Charakterystyka techniczna istniejącego systemu </w:t>
      </w:r>
      <w:r w:rsidR="001E487C">
        <w:rPr>
          <w:rFonts w:ascii="Open Sans Light" w:hAnsi="Open Sans Light" w:cs="Open Sans Light"/>
        </w:rPr>
        <w:t>zapobiegania powstawania odpadów żywności</w:t>
      </w:r>
    </w:p>
    <w:p w14:paraId="65AFE14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27629FA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2.4.1. Zgodność projektu z wojewódzkim planem gospodarki odpadami oraz planem </w:t>
      </w:r>
    </w:p>
    <w:p w14:paraId="0D92FC32" w14:textId="77777777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inwestycyjnym</w:t>
      </w:r>
    </w:p>
    <w:p w14:paraId="5AE1C4A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2243421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094B68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systemu, w tym inwestycji odtworzeniowych </w:t>
      </w:r>
    </w:p>
    <w:p w14:paraId="2CEF82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B7C3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66A187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5DC65BC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1DBBD6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4A25C9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3.2. Bieżący i przyszły popyt zgłaszany przez gospodarstwa domowe</w:t>
      </w:r>
    </w:p>
    <w:p w14:paraId="4EBEFF73" w14:textId="501BC827" w:rsidR="00A061AB" w:rsidRPr="00A061AB" w:rsidRDefault="00A061AB" w:rsidP="00A061AB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       </w:t>
      </w:r>
      <w:r w:rsidRPr="00A061AB">
        <w:rPr>
          <w:rFonts w:ascii="Open Sans Light" w:hAnsi="Open Sans Light" w:cs="Open Sans Light"/>
        </w:rPr>
        <w:t>3.</w:t>
      </w:r>
      <w:r>
        <w:rPr>
          <w:rFonts w:ascii="Open Sans Light" w:hAnsi="Open Sans Light" w:cs="Open Sans Light"/>
        </w:rPr>
        <w:t>2</w:t>
      </w:r>
      <w:r w:rsidRPr="00A061AB">
        <w:rPr>
          <w:rFonts w:ascii="Open Sans Light" w:hAnsi="Open Sans Light" w:cs="Open Sans Light"/>
        </w:rPr>
        <w:t>.1. Bieżący popyt</w:t>
      </w:r>
    </w:p>
    <w:p w14:paraId="578EEBF9" w14:textId="7E295C9C" w:rsidR="00DF359B" w:rsidRPr="00987AD1" w:rsidRDefault="00A061AB">
      <w:pPr>
        <w:spacing w:line="276" w:lineRule="auto"/>
        <w:rPr>
          <w:rFonts w:ascii="Open Sans Light" w:hAnsi="Open Sans Light" w:cs="Open Sans Light"/>
        </w:rPr>
      </w:pPr>
      <w:r w:rsidRPr="00A061AB">
        <w:rPr>
          <w:rFonts w:ascii="Open Sans Light" w:hAnsi="Open Sans Light" w:cs="Open Sans Light"/>
        </w:rPr>
        <w:t xml:space="preserve">        3.</w:t>
      </w:r>
      <w:r>
        <w:rPr>
          <w:rFonts w:ascii="Open Sans Light" w:hAnsi="Open Sans Light" w:cs="Open Sans Light"/>
        </w:rPr>
        <w:t>2</w:t>
      </w:r>
      <w:r w:rsidRPr="00A061AB">
        <w:rPr>
          <w:rFonts w:ascii="Open Sans Light" w:hAnsi="Open Sans Light" w:cs="Open Sans Light"/>
        </w:rPr>
        <w:t>.2. Przyszły popyt</w:t>
      </w:r>
      <w:r w:rsidR="00DF359B" w:rsidRPr="00987AD1">
        <w:rPr>
          <w:rFonts w:ascii="Open Sans Light" w:hAnsi="Open Sans Light" w:cs="Open Sans Light"/>
        </w:rPr>
        <w:t xml:space="preserve">                         </w:t>
      </w:r>
    </w:p>
    <w:p w14:paraId="20FF949D" w14:textId="1BA0DF64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3.3. Bieżący i przyszły popyt zgłaszany przez przemysł</w:t>
      </w:r>
    </w:p>
    <w:p w14:paraId="07F506C2" w14:textId="219A8314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3.3.1. Bieżący popyt</w:t>
      </w:r>
    </w:p>
    <w:p w14:paraId="5E10EB09" w14:textId="79E2E691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3.3.2. Przyszły popyt</w:t>
      </w:r>
    </w:p>
    <w:p w14:paraId="4A1598B4" w14:textId="6E5FBCDD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3.4. Bieżący i przyszły popyt zgłaszany przez podmioty użyteczności publicznej i sektor</w:t>
      </w:r>
    </w:p>
    <w:p w14:paraId="39900277" w14:textId="2D7E5CDD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usługowy</w:t>
      </w:r>
    </w:p>
    <w:p w14:paraId="64BB573C" w14:textId="716C8BAD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3.4.1. Bieżący popyt</w:t>
      </w:r>
    </w:p>
    <w:p w14:paraId="020E87FF" w14:textId="24A946F0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3.4.2. Przyszły popyt</w:t>
      </w:r>
    </w:p>
    <w:p w14:paraId="0283E408" w14:textId="33C51F7A" w:rsidR="00DF359B" w:rsidRPr="00987AD1" w:rsidRDefault="00DF359B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3.5. Bieżący i przyszły popyt łącznie</w:t>
      </w:r>
    </w:p>
    <w:p w14:paraId="7653319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70A1893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28626DE4" w14:textId="01D60F5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631E7BE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78F5F19D" w14:textId="09C39FF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0E4307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3C838F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E34083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0580E6C1" w14:textId="4A9C47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</w:t>
      </w:r>
      <w:r w:rsidR="00A06325" w:rsidRPr="00987AD1">
        <w:rPr>
          <w:rFonts w:ascii="Open Sans Light" w:hAnsi="Open Sans Light" w:cs="Open Sans Light"/>
        </w:rPr>
        <w:t xml:space="preserve">m środowiskowym (uwzględniając </w:t>
      </w:r>
      <w:r w:rsidRPr="00987AD1">
        <w:rPr>
          <w:rFonts w:ascii="Open Sans Light" w:hAnsi="Open Sans Light" w:cs="Open Sans Light"/>
        </w:rPr>
        <w:t>wpływ oraz odporność na zmianę klimatu i zagrożenia związ</w:t>
      </w:r>
      <w:r w:rsidR="00A06325" w:rsidRPr="00987AD1">
        <w:rPr>
          <w:rFonts w:ascii="Open Sans Light" w:hAnsi="Open Sans Light" w:cs="Open Sans Light"/>
        </w:rPr>
        <w:t xml:space="preserve">ane z klęskami </w:t>
      </w:r>
      <w:r w:rsidRPr="00987AD1">
        <w:rPr>
          <w:rFonts w:ascii="Open Sans Light" w:hAnsi="Open Sans Light" w:cs="Open Sans Light"/>
        </w:rPr>
        <w:t xml:space="preserve">żywiołowymi) </w:t>
      </w:r>
    </w:p>
    <w:p w14:paraId="3EDB94A3" w14:textId="13D2C7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wyboru.</w:t>
      </w:r>
    </w:p>
    <w:p w14:paraId="08E20A1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2A98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1D5730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34E4503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35E707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7B1113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919BA9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4B189F8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6.1. Cele projektu</w:t>
      </w:r>
    </w:p>
    <w:p w14:paraId="0AADDCD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4AFEA855" w14:textId="184707E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6.3. Opis i charakterystyka wybrane</w:t>
      </w:r>
      <w:r w:rsidR="001E487C">
        <w:rPr>
          <w:rFonts w:ascii="Open Sans Light" w:hAnsi="Open Sans Light" w:cs="Open Sans Light"/>
        </w:rPr>
        <w:t>go rozwiązania</w:t>
      </w:r>
      <w:r w:rsidRPr="00987AD1">
        <w:rPr>
          <w:rFonts w:ascii="Open Sans Light" w:hAnsi="Open Sans Light" w:cs="Open Sans Light"/>
        </w:rPr>
        <w:t xml:space="preserve">  </w:t>
      </w:r>
    </w:p>
    <w:p w14:paraId="268C988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7AC3353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2DDEAE6B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52D61483" w14:textId="7807880D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 na efektywność energetyczną oraz na zapewnienie </w:t>
      </w:r>
    </w:p>
    <w:p w14:paraId="79DDD707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oszczędności wody</w:t>
      </w:r>
    </w:p>
    <w:p w14:paraId="4E8F27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6.3.4. Sposób zagospodarowania produktów ubocznych</w:t>
      </w:r>
    </w:p>
    <w:p w14:paraId="64FA5B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73A3787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615244A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inwestycje, koszty zakupu oraz rekompensat </w:t>
      </w:r>
    </w:p>
    <w:p w14:paraId="2C1F99A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6.4.3. Zgodność przedsięwzięcia z miejscowymi planami zagospodarowania przestrzennego </w:t>
      </w:r>
    </w:p>
    <w:p w14:paraId="535641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F2A47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03F2CB4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146D3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3D8DE69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07D423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706EF78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6.8. Niezbędne inwestycje odtworzeniowe przedsięwzięcia w fazie operacyjnej .</w:t>
      </w:r>
    </w:p>
    <w:p w14:paraId="6C1A870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0BBE0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2A2718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3CEA9FB0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 rozwoju, ochrony środowiska, zmian klimatu  </w:t>
      </w:r>
    </w:p>
    <w:p w14:paraId="0FFCF3A3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7.1.2. Przyczynienie się wdrożenia projektu do przestrzegania zasady ostrożności i działań zapobiegawczych </w:t>
      </w:r>
    </w:p>
    <w:p w14:paraId="761B7FBD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7.1.3. Sposób wdrożenia przez projekt zasady zapobiegania zanieczyszczeniom u źródła i zasady zanieczyszczający płaci</w:t>
      </w:r>
    </w:p>
    <w:p w14:paraId="65406AD3" w14:textId="77777777" w:rsidR="00DF359B" w:rsidRPr="00987AD1" w:rsidRDefault="00DF359B" w:rsidP="00A31A0E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3800A48A" w14:textId="014A9F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3F5DA15A" w14:textId="718E87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</w:t>
      </w:r>
      <w:r w:rsidR="00A06325" w:rsidRPr="00987AD1">
        <w:rPr>
          <w:rFonts w:ascii="Open Sans Light" w:hAnsi="Open Sans Light" w:cs="Open Sans Light"/>
        </w:rPr>
        <w:t xml:space="preserve">owań ws. OOŚ, ocena poprawności </w:t>
      </w:r>
      <w:r w:rsidRPr="00987AD1">
        <w:rPr>
          <w:rFonts w:ascii="Open Sans Light" w:hAnsi="Open Sans Light" w:cs="Open Sans Light"/>
        </w:rPr>
        <w:t>przeprowadzonych procedur pod kątem zgodności z wymogami Dyrektywy 2011/92/UE</w:t>
      </w:r>
    </w:p>
    <w:p w14:paraId="5B2A8833" w14:textId="22B3891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09B7F701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718B991B" w14:textId="77777777" w:rsidR="00DF359B" w:rsidRPr="00987AD1" w:rsidRDefault="00DF359B" w:rsidP="00987AD1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37DA669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665B886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1764D73B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12A1B127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6015D9E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4155E16A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16B57F92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3937A05B" w14:textId="77777777" w:rsidR="00F90899" w:rsidRPr="00987AD1" w:rsidRDefault="00F90899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C22D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041502FD" w14:textId="6C6ECCC2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tym instytucjonalnych i administracyjnych w celu wdrożenia przedsięwzięcia </w:t>
      </w:r>
    </w:p>
    <w:p w14:paraId="352059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7ADAA952" w14:textId="02D71B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8.3. Proponowany zakres kontraktów, procedury kontraktowe, harmonogram ogłaszania przetargów i podpisywania kontraktów </w:t>
      </w:r>
    </w:p>
    <w:p w14:paraId="319EA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2F9DB8B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0C52697" w14:textId="71B211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przedsięwzięcia </w:t>
      </w:r>
    </w:p>
    <w:p w14:paraId="3666595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0F7DC9A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7ACDE5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0FD009F0" w14:textId="5768AC6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z podziałem na lata realizacji inwestycji</w:t>
      </w:r>
    </w:p>
    <w:p w14:paraId="6F5C43C9" w14:textId="75DABBB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podmiotów* (o ile dotyczy) do zapewnienia wkładu   własnego i informacja o stanie zaawansowania pozyskania środków zewnętrznych</w:t>
      </w:r>
    </w:p>
    <w:p w14:paraId="697243C3" w14:textId="65AB3D71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          źródeł finansowania inwestycji (o ile dotyczy) z uwzględnieniem wyników analizy ryzyka </w:t>
      </w:r>
    </w:p>
    <w:p w14:paraId="00F1B84E" w14:textId="77777777" w:rsidR="00A061AB" w:rsidRPr="00987AD1" w:rsidRDefault="00A061A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607BEE01" w14:textId="561E05F6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0D667F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04449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46D31B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2BD694C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621641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0AE54A14" w14:textId="4D268FF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  <w:r w:rsidR="00033CD7">
        <w:rPr>
          <w:rFonts w:ascii="Open Sans Light" w:hAnsi="Open Sans Light" w:cs="Open Sans Light"/>
        </w:rPr>
        <w:t>(o ile dotyczy)</w:t>
      </w:r>
    </w:p>
    <w:p w14:paraId="7A1AC70B" w14:textId="6BAA09D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10.3. Założenia </w:t>
      </w:r>
      <w:r w:rsidR="00033CD7">
        <w:rPr>
          <w:rFonts w:ascii="Open Sans Light" w:hAnsi="Open Sans Light" w:cs="Open Sans Light"/>
        </w:rPr>
        <w:t xml:space="preserve">do </w:t>
      </w:r>
      <w:r w:rsidRPr="00987AD1">
        <w:rPr>
          <w:rFonts w:ascii="Open Sans Light" w:hAnsi="Open Sans Light" w:cs="Open Sans Light"/>
        </w:rPr>
        <w:t xml:space="preserve">analizy finansowej i </w:t>
      </w:r>
      <w:r w:rsidR="00033CD7">
        <w:rPr>
          <w:rFonts w:ascii="Open Sans Light" w:hAnsi="Open Sans Light" w:cs="Open Sans Light"/>
        </w:rPr>
        <w:t xml:space="preserve">do </w:t>
      </w:r>
      <w:r w:rsidRPr="00987AD1">
        <w:rPr>
          <w:rFonts w:ascii="Open Sans Light" w:hAnsi="Open Sans Light" w:cs="Open Sans Light"/>
        </w:rPr>
        <w:t>analizy efektywności</w:t>
      </w:r>
      <w:r w:rsidR="00033CD7">
        <w:rPr>
          <w:rFonts w:ascii="Open Sans Light" w:hAnsi="Open Sans Light" w:cs="Open Sans Light"/>
        </w:rPr>
        <w:t xml:space="preserve"> finansowej </w:t>
      </w:r>
      <w:r w:rsidRPr="00987AD1">
        <w:rPr>
          <w:rFonts w:ascii="Open Sans Light" w:hAnsi="Open Sans Light" w:cs="Open Sans Light"/>
        </w:rPr>
        <w:t>przedsięwzięcia</w:t>
      </w:r>
    </w:p>
    <w:p w14:paraId="567D9EBD" w14:textId="19FF6289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</w:t>
      </w:r>
      <w:r w:rsidR="00033CD7">
        <w:rPr>
          <w:rFonts w:ascii="Open Sans Light" w:hAnsi="Open Sans Light" w:cs="Open Sans Light"/>
        </w:rPr>
        <w:t>4</w:t>
      </w:r>
      <w:r w:rsidRPr="00987AD1">
        <w:rPr>
          <w:rFonts w:ascii="Open Sans Light" w:hAnsi="Open Sans Light" w:cs="Open Sans Light"/>
        </w:rPr>
        <w:t xml:space="preserve">. Analiza </w:t>
      </w:r>
      <w:r w:rsidR="00033CD7">
        <w:rPr>
          <w:rFonts w:ascii="Open Sans Light" w:hAnsi="Open Sans Light" w:cs="Open Sans Light"/>
        </w:rPr>
        <w:t xml:space="preserve">efektywności </w:t>
      </w:r>
      <w:r w:rsidRPr="00987AD1">
        <w:rPr>
          <w:rFonts w:ascii="Open Sans Light" w:hAnsi="Open Sans Light" w:cs="Open Sans Light"/>
        </w:rPr>
        <w:t>finansowej przedsięwzięcia</w:t>
      </w:r>
    </w:p>
    <w:p w14:paraId="2C3F9EB7" w14:textId="7573D910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</w:t>
      </w:r>
      <w:r w:rsidR="00033CD7">
        <w:rPr>
          <w:rFonts w:ascii="Open Sans Light" w:hAnsi="Open Sans Light" w:cs="Open Sans Light"/>
        </w:rPr>
        <w:t>4</w:t>
      </w:r>
      <w:r w:rsidRPr="00987AD1">
        <w:rPr>
          <w:rFonts w:ascii="Open Sans Light" w:hAnsi="Open Sans Light" w:cs="Open Sans Light"/>
        </w:rPr>
        <w:t>.1. Obliczenie zwrotu z inwestycji (FNPV/C i FIRR/C bez i z wsparciem UE)</w:t>
      </w:r>
    </w:p>
    <w:p w14:paraId="1FB89518" w14:textId="785B3CF6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10.</w:t>
      </w:r>
      <w:r w:rsidR="00033CD7">
        <w:rPr>
          <w:rFonts w:ascii="Open Sans Light" w:hAnsi="Open Sans Light" w:cs="Open Sans Light"/>
        </w:rPr>
        <w:t>4</w:t>
      </w:r>
      <w:r w:rsidRPr="00987AD1">
        <w:rPr>
          <w:rFonts w:ascii="Open Sans Light" w:hAnsi="Open Sans Light" w:cs="Open Sans Light"/>
        </w:rPr>
        <w:t xml:space="preserve">.2. Obliczenie zwrotu z kapitału krajowego (FNPV/K i FIRR/K bez i z wsparciem </w:t>
      </w:r>
    </w:p>
    <w:p w14:paraId="073C7F8E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UE) – o ile dotyczy</w:t>
      </w:r>
    </w:p>
    <w:p w14:paraId="36F62927" w14:textId="5F3E96D6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</w:t>
      </w:r>
      <w:r w:rsidR="00033CD7">
        <w:rPr>
          <w:rFonts w:ascii="Open Sans Light" w:hAnsi="Open Sans Light" w:cs="Open Sans Light"/>
        </w:rPr>
        <w:t>5</w:t>
      </w:r>
      <w:r w:rsidRPr="00987AD1">
        <w:rPr>
          <w:rFonts w:ascii="Open Sans Light" w:hAnsi="Open Sans Light" w:cs="Open Sans Light"/>
        </w:rPr>
        <w:t>. Prognoza sprawozdań finansowych beneficjenta i innych podmiotów (o ile dotyczy) i ich analiza wskaźnikowa</w:t>
      </w:r>
    </w:p>
    <w:p w14:paraId="1C958A59" w14:textId="7F2D781D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10.</w:t>
      </w:r>
      <w:r w:rsidR="00033CD7">
        <w:rPr>
          <w:rFonts w:ascii="Open Sans Light" w:hAnsi="Open Sans Light" w:cs="Open Sans Light"/>
        </w:rPr>
        <w:t>6</w:t>
      </w:r>
      <w:r w:rsidRPr="00987AD1">
        <w:rPr>
          <w:rFonts w:ascii="Open Sans Light" w:hAnsi="Open Sans Light" w:cs="Open Sans Light"/>
        </w:rPr>
        <w:t xml:space="preserve">. Ocena prognoz sprawozdań finansowych beneficjenta i innych podmiotów (o ile </w:t>
      </w:r>
    </w:p>
    <w:p w14:paraId="2FE92F4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1FC6AFE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457CC6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</w:p>
    <w:p w14:paraId="574837F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08980EA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4C778D5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47E6B8D9" w14:textId="0E65F1B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11.3. Analiza korzyści związanych z realizacją przedsięwzięcia z punktu widzenia społeczności (jakościowa i ilościowa), w tym skutki przedsięwzięcia dla zatrudnienia</w:t>
      </w:r>
    </w:p>
    <w:p w14:paraId="794E444E" w14:textId="77F6B2A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Analiza ekonomiczna (o ile dotyczy)</w:t>
      </w:r>
    </w:p>
    <w:p w14:paraId="4A9F5E9E" w14:textId="4E307AD9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Korekty przepływów pieniężnych przedsięwzięcia </w:t>
      </w:r>
    </w:p>
    <w:p w14:paraId="5EFDBE0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476FB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2307424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6886733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08FEBB2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2F5EAD8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5E33A5CD" w14:textId="77777777" w:rsidR="00DF359B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71D78D21" w14:textId="77777777" w:rsidR="00F90899" w:rsidRPr="00987AD1" w:rsidRDefault="00F90899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E6C852E" w14:textId="77777777" w:rsidR="00DF359B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5FFE3D92" w14:textId="77777777" w:rsidR="00F90899" w:rsidRPr="00987AD1" w:rsidRDefault="00F90899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43E4281" w14:textId="34E5AA14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  </w:t>
      </w:r>
    </w:p>
    <w:p w14:paraId="4A4AC8F4" w14:textId="26EF0E0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13.</w:t>
      </w:r>
      <w:r w:rsidR="00033CD7">
        <w:rPr>
          <w:rFonts w:ascii="Open Sans Light" w:hAnsi="Open Sans Light" w:cs="Open Sans Light"/>
        </w:rPr>
        <w:t>1</w:t>
      </w:r>
      <w:r w:rsidRPr="00987AD1">
        <w:rPr>
          <w:rFonts w:ascii="Open Sans Light" w:hAnsi="Open Sans Light" w:cs="Open Sans Light"/>
        </w:rPr>
        <w:t xml:space="preserve">. Jakościowa analiza ryzyka </w:t>
      </w:r>
    </w:p>
    <w:p w14:paraId="320C0AD7" w14:textId="3BF9D62C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</w:t>
      </w:r>
      <w:r w:rsidR="00033CD7">
        <w:rPr>
          <w:rFonts w:ascii="Open Sans Light" w:hAnsi="Open Sans Light" w:cs="Open Sans Light"/>
        </w:rPr>
        <w:t>1</w:t>
      </w:r>
      <w:r w:rsidRPr="00987AD1">
        <w:rPr>
          <w:rFonts w:ascii="Open Sans Light" w:hAnsi="Open Sans Light" w:cs="Open Sans Light"/>
        </w:rPr>
        <w:t xml:space="preserve">.1. Lista zidentyfikowanych czynników ryzyka  </w:t>
      </w:r>
    </w:p>
    <w:p w14:paraId="1308978D" w14:textId="7A9A1CDD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</w:t>
      </w:r>
      <w:r w:rsidR="00033CD7">
        <w:rPr>
          <w:rFonts w:ascii="Open Sans Light" w:hAnsi="Open Sans Light" w:cs="Open Sans Light"/>
        </w:rPr>
        <w:t>1</w:t>
      </w:r>
      <w:r w:rsidRPr="00987AD1">
        <w:rPr>
          <w:rFonts w:ascii="Open Sans Light" w:hAnsi="Open Sans Light" w:cs="Open Sans Light"/>
        </w:rPr>
        <w:t xml:space="preserve">.2. Matryca ryzyka (przyczyny wystąpienia ryzyka, ew. związek z analizą </w:t>
      </w:r>
    </w:p>
    <w:p w14:paraId="4BAAAD9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6DD2BB5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mitygacja ryzyka, ryzyka rezydualne) </w:t>
      </w:r>
    </w:p>
    <w:p w14:paraId="4869127A" w14:textId="0552440C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</w:t>
      </w:r>
      <w:r w:rsidR="00033CD7">
        <w:rPr>
          <w:rFonts w:ascii="Open Sans Light" w:hAnsi="Open Sans Light" w:cs="Open Sans Light"/>
        </w:rPr>
        <w:t>1</w:t>
      </w:r>
      <w:r w:rsidRPr="00987AD1">
        <w:rPr>
          <w:rFonts w:ascii="Open Sans Light" w:hAnsi="Open Sans Light" w:cs="Open Sans Light"/>
        </w:rPr>
        <w:t>.3. Interpretacja matrycy ryzyka</w:t>
      </w:r>
    </w:p>
    <w:p w14:paraId="73535B7F" w14:textId="7777777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0C0EA1D" w14:textId="77777777" w:rsidR="00357143" w:rsidRPr="00987AD1" w:rsidRDefault="00357143" w:rsidP="00987AD1">
      <w:pPr>
        <w:pStyle w:val="Akapitzlist"/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</w:p>
    <w:p w14:paraId="704E4695" w14:textId="77777777" w:rsidR="00F47ADD" w:rsidRPr="00987AD1" w:rsidRDefault="00F47ADD" w:rsidP="00987AD1">
      <w:pPr>
        <w:spacing w:line="276" w:lineRule="auto"/>
        <w:contextualSpacing/>
        <w:rPr>
          <w:rFonts w:ascii="Open Sans Light" w:hAnsi="Open Sans Light" w:cs="Open Sans Light"/>
        </w:rPr>
      </w:pPr>
    </w:p>
    <w:p w14:paraId="3F11D737" w14:textId="77777777" w:rsidR="00ED28F1" w:rsidRPr="00987AD1" w:rsidRDefault="00ED28F1" w:rsidP="00987AD1">
      <w:pPr>
        <w:spacing w:line="276" w:lineRule="auto"/>
        <w:rPr>
          <w:rFonts w:ascii="Open Sans Light" w:hAnsi="Open Sans Light" w:cs="Open Sans Light"/>
        </w:rPr>
      </w:pPr>
    </w:p>
    <w:p w14:paraId="777FCFEB" w14:textId="215B4008" w:rsidR="00F90899" w:rsidRDefault="00F90899">
      <w:pPr>
        <w:rPr>
          <w:rFonts w:ascii="Open Sans Light" w:eastAsia="Times New Roman" w:hAnsi="Open Sans Light" w:cs="Open Sans Light"/>
          <w:color w:val="000000"/>
          <w:lang w:eastAsia="pl-PL"/>
        </w:rPr>
      </w:pPr>
      <w:r>
        <w:rPr>
          <w:rFonts w:ascii="Open Sans Light" w:hAnsi="Open Sans Light" w:cs="Open Sans Light"/>
        </w:rPr>
        <w:br w:type="page"/>
      </w:r>
    </w:p>
    <w:p w14:paraId="64ECE431" w14:textId="6D64B1CB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D0CA24" w14:textId="77777777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</w:p>
    <w:p w14:paraId="2344A3BA" w14:textId="545090D3" w:rsidR="00A06325" w:rsidRPr="00987AD1" w:rsidRDefault="00A06325" w:rsidP="00987AD1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Założenia do analiz finansowych dla działania FENX.01.04 Gospodarka odpadami oraz gospodarka o obiegu zamkniętym</w:t>
      </w:r>
    </w:p>
    <w:p w14:paraId="1B49E120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</w:p>
    <w:p w14:paraId="32182E8A" w14:textId="77777777" w:rsidR="00430392" w:rsidRPr="00B3472B" w:rsidRDefault="00430392" w:rsidP="00430392">
      <w:pPr>
        <w:jc w:val="center"/>
        <w:rPr>
          <w:rFonts w:ascii="Open Sans Light" w:hAnsi="Open Sans Light" w:cs="Open Sans Light"/>
        </w:rPr>
      </w:pPr>
      <w:r w:rsidRPr="00B3472B">
        <w:rPr>
          <w:rFonts w:ascii="Open Sans Light" w:hAnsi="Open Sans Light" w:cs="Open Sans Light"/>
        </w:rPr>
        <w:t>(nie dotyczy typu projektu: działania edukacyjno-informacyjne społeczeństwa w szczególności w obszarze zapobiegania powstawaniu odpadów oraz prowadzenia działań w gospodarce odpadami zgodnie z hierarchią sposobów postępowania z odpadami oraz w zakresie gospodarki o obiegu zamkniętym)</w:t>
      </w:r>
    </w:p>
    <w:p w14:paraId="64BE2252" w14:textId="77777777" w:rsidR="00430392" w:rsidRPr="00987AD1" w:rsidRDefault="00430392" w:rsidP="00430392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</w:p>
    <w:p w14:paraId="50532AD1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219E7DF4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5852ADF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76E7C82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34F62C3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</w:t>
      </w:r>
      <w:r>
        <w:rPr>
          <w:rFonts w:ascii="Open Sans Light" w:eastAsia="Calibri" w:hAnsi="Open Sans Light" w:cs="Open Sans Light"/>
        </w:rPr>
        <w:t>długość okresu odniesienia</w:t>
      </w:r>
      <w:r w:rsidRPr="00987AD1">
        <w:rPr>
          <w:rFonts w:ascii="Open Sans Light" w:eastAsia="Calibri" w:hAnsi="Open Sans Light" w:cs="Open Sans Light"/>
        </w:rPr>
        <w:t xml:space="preserve"> zgodnie z okresami odniesienia tożsamymi dla analizy finansowej i analizy ekonomicznej zdefiniowanymi dla poprzedniej perspektywy finansowej</w:t>
      </w:r>
      <w:r>
        <w:rPr>
          <w:rFonts w:ascii="Open Sans Light" w:eastAsia="Calibri" w:hAnsi="Open Sans Light" w:cs="Open Sans Light"/>
        </w:rPr>
        <w:t xml:space="preserve"> UE i stosowanymi w ramach programu</w:t>
      </w:r>
      <w:r w:rsidRPr="00987AD1">
        <w:rPr>
          <w:rFonts w:ascii="Open Sans Light" w:eastAsia="Calibri" w:hAnsi="Open Sans Light" w:cs="Open Sans Light"/>
        </w:rPr>
        <w:t xml:space="preserve"> PO</w:t>
      </w:r>
      <w:r>
        <w:rPr>
          <w:rFonts w:ascii="Open Sans Light" w:eastAsia="Calibri" w:hAnsi="Open Sans Light" w:cs="Open Sans Light"/>
        </w:rPr>
        <w:t xml:space="preserve"> </w:t>
      </w:r>
      <w:r w:rsidRPr="00987AD1">
        <w:rPr>
          <w:rFonts w:ascii="Open Sans Light" w:eastAsia="Calibri" w:hAnsi="Open Sans Light" w:cs="Open Sans Light"/>
        </w:rPr>
        <w:t>IiŚ 2014-2020</w:t>
      </w:r>
      <w:r>
        <w:rPr>
          <w:rFonts w:ascii="Open Sans Light" w:eastAsia="Calibri" w:hAnsi="Open Sans Light" w:cs="Open Sans Light"/>
        </w:rPr>
        <w:br/>
      </w:r>
      <w:r w:rsidRPr="00987AD1">
        <w:rPr>
          <w:rFonts w:ascii="Open Sans Light" w:eastAsia="Calibri" w:hAnsi="Open Sans Light" w:cs="Open Sans Light"/>
        </w:rPr>
        <w:t>(</w:t>
      </w:r>
      <w:r>
        <w:rPr>
          <w:rFonts w:ascii="Open Sans Light" w:eastAsia="Calibri" w:hAnsi="Open Sans Light" w:cs="Open Sans Light"/>
        </w:rPr>
        <w:t xml:space="preserve">zgodnie z </w:t>
      </w:r>
      <w:r w:rsidRPr="00987AD1">
        <w:rPr>
          <w:rFonts w:ascii="Open Sans Light" w:eastAsia="Calibri" w:hAnsi="Open Sans Light" w:cs="Open Sans Light"/>
        </w:rPr>
        <w:t>Załącznik</w:t>
      </w:r>
      <w:r>
        <w:rPr>
          <w:rFonts w:ascii="Open Sans Light" w:eastAsia="Calibri" w:hAnsi="Open Sans Light" w:cs="Open Sans Light"/>
        </w:rPr>
        <w:t>iem</w:t>
      </w:r>
      <w:r w:rsidRPr="00987AD1">
        <w:rPr>
          <w:rFonts w:ascii="Open Sans Light" w:eastAsia="Calibri" w:hAnsi="Open Sans Light" w:cs="Open Sans Light"/>
        </w:rPr>
        <w:t xml:space="preserve"> I do rozporządzenia nr KE 480/2014), tj.:</w:t>
      </w:r>
    </w:p>
    <w:p w14:paraId="630B7F6A" w14:textId="77777777" w:rsidR="00051C99" w:rsidRPr="00987AD1" w:rsidRDefault="00051C99" w:rsidP="00051C99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Gospodarowanie odpadami: 25 lat.</w:t>
      </w:r>
    </w:p>
    <w:p w14:paraId="4B23F74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3DD121C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1B0891E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32D1110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1986D41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482758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z dokumentem: </w:t>
      </w:r>
      <w:r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BE49935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stałych lub</w:t>
      </w:r>
    </w:p>
    <w:p w14:paraId="0BD6712E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bieżących, przy czym, o ile to możliwe i uzasadnione, powinna być przeprowadzona w cenach stałych.</w:t>
      </w:r>
    </w:p>
    <w:p w14:paraId="3CC0ACFB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46B8E6A9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3E75B431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lastRenderedPageBreak/>
        <w:t xml:space="preserve">9 % dla analizy finansowej prowadzonej w cenach bieżących. </w:t>
      </w:r>
    </w:p>
    <w:p w14:paraId="448E8AA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2B68F943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752F50B6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333839F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0F15CA6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5203627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W</w:t>
      </w:r>
      <w:r w:rsidRPr="00987AD1">
        <w:rPr>
          <w:rFonts w:ascii="Open Sans Light" w:eastAsia="Calibri" w:hAnsi="Open Sans Light" w:cs="Open Sans Light"/>
        </w:rPr>
        <w:t xml:space="preserve">nioskodawca </w:t>
      </w:r>
      <w:r>
        <w:rPr>
          <w:rFonts w:ascii="Open Sans Light" w:eastAsia="Calibri" w:hAnsi="Open Sans Light" w:cs="Open Sans Light"/>
        </w:rPr>
        <w:t>ma</w:t>
      </w:r>
      <w:r w:rsidRPr="00987AD1">
        <w:rPr>
          <w:rFonts w:ascii="Open Sans Light" w:eastAsia="Calibri" w:hAnsi="Open Sans Light" w:cs="Open Sans Light"/>
        </w:rPr>
        <w:t xml:space="preserve"> możliwość uwzględniania rezerwy na nieprzewidziane wydatki (tzw. rezerwa inwestycyjna), ale z zastrzeżeniem, że maksymalna jej wartość nie może przekraczać 15% całkowitych nakładów inwestycyjnych oraz z zastrzeżeniem, że do wnioskowanego projektu załączona </w:t>
      </w:r>
      <w:r>
        <w:rPr>
          <w:rFonts w:ascii="Open Sans Light" w:eastAsia="Calibri" w:hAnsi="Open Sans Light" w:cs="Open Sans Light"/>
        </w:rPr>
        <w:t xml:space="preserve">zostanie </w:t>
      </w:r>
      <w:r w:rsidRPr="00987AD1">
        <w:rPr>
          <w:rFonts w:ascii="Open Sans Light" w:eastAsia="Calibri" w:hAnsi="Open Sans Light" w:cs="Open Sans Light"/>
        </w:rPr>
        <w:t xml:space="preserve">szczegółowa analiza ryzyka, uzasadniająca utworzenie rezerwy. </w:t>
      </w:r>
    </w:p>
    <w:p w14:paraId="66E4F87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791C145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uwzględnia się dla potrzeb kalkulacji wskaźników efektywności finansowej i ekonomicznej oraz trwałości finansowej projektu z uwagi na fakt, iż </w:t>
      </w:r>
      <w:r>
        <w:rPr>
          <w:rFonts w:ascii="Open Sans Light" w:eastAsia="Calibri" w:hAnsi="Open Sans Light" w:cs="Open Sans Light"/>
        </w:rPr>
        <w:t xml:space="preserve">rezerwy </w:t>
      </w:r>
      <w:r w:rsidRPr="00987AD1">
        <w:rPr>
          <w:rFonts w:ascii="Open Sans Light" w:eastAsia="Calibri" w:hAnsi="Open Sans Light" w:cs="Open Sans Light"/>
        </w:rPr>
        <w:t>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przepływu środków pieniężnych. W związku z tym, wartość rezerw na nieprzewidziane wydatki należy prezentować oddzielnie od nakładów inwestycyjnych na realizację projektu.</w:t>
      </w:r>
    </w:p>
    <w:p w14:paraId="454623A7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kosztów operacyjnych. Ponadto niepieniężne pozycje rachunkowe, takie jak rezerwy na nieprzewidziane wydatki, nie mogą być przedmiotem analizy finansowej.</w:t>
      </w:r>
      <w:r>
        <w:rPr>
          <w:rFonts w:ascii="Open Sans Light" w:eastAsia="Calibri" w:hAnsi="Open Sans Light" w:cs="Open Sans Light"/>
        </w:rPr>
        <w:t xml:space="preserve"> </w:t>
      </w:r>
    </w:p>
    <w:p w14:paraId="2ED29ED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124DB3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bookmarkStart w:id="2" w:name="_Hlk152334655"/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bookmarkEnd w:id="2"/>
    <w:p w14:paraId="5DFB053A" w14:textId="77777777" w:rsidR="00051C99" w:rsidRPr="00E64C7D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W ramach </w:t>
      </w:r>
      <w:r w:rsidRPr="00987AD1">
        <w:rPr>
          <w:rFonts w:ascii="Open Sans Light" w:eastAsia="Calibri" w:hAnsi="Open Sans Light" w:cs="Open Sans Light"/>
        </w:rPr>
        <w:t>działania FENX.01.04.</w:t>
      </w:r>
      <w:r>
        <w:rPr>
          <w:rFonts w:ascii="Open Sans Light" w:eastAsia="Calibri" w:hAnsi="Open Sans Light" w:cs="Open Sans Light"/>
        </w:rPr>
        <w:t xml:space="preserve"> </w:t>
      </w:r>
      <w:r w:rsidRPr="00E64C7D">
        <w:rPr>
          <w:rFonts w:ascii="Open Sans Light" w:eastAsia="Calibri" w:hAnsi="Open Sans Light" w:cs="Open Sans Light"/>
        </w:rPr>
        <w:t>Gospodarka odpadami oraz gospodarka o obiegu zamkniętym,</w:t>
      </w:r>
      <w:r>
        <w:rPr>
          <w:rFonts w:ascii="Open Sans Light" w:eastAsia="Calibri" w:hAnsi="Open Sans Light" w:cs="Open Sans Light"/>
        </w:rPr>
        <w:t xml:space="preserve"> dla następujących typów projektów:</w:t>
      </w:r>
      <w:r w:rsidRPr="00E64C7D">
        <w:rPr>
          <w:rFonts w:ascii="Open Sans Light" w:eastAsia="Calibri" w:hAnsi="Open Sans Light" w:cs="Open Sans Light"/>
        </w:rPr>
        <w:t xml:space="preserve"> </w:t>
      </w:r>
    </w:p>
    <w:p w14:paraId="02047504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Systemy selektywnego zbierania odpadów komunalnych uwzględniające rozwiązania dotyczące zapobiegania powstawaniu odpadów, w tym ponowne użycie</w:t>
      </w:r>
      <w:r>
        <w:rPr>
          <w:rFonts w:ascii="Open Sans Light" w:eastAsia="Calibri" w:hAnsi="Open Sans Light" w:cs="Open Sans Light"/>
        </w:rPr>
        <w:t xml:space="preserve">; </w:t>
      </w:r>
    </w:p>
    <w:p w14:paraId="0009BFFF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Rozwijanie recyklingu odpadów</w:t>
      </w:r>
      <w:r>
        <w:rPr>
          <w:rFonts w:ascii="Open Sans Light" w:eastAsia="Calibri" w:hAnsi="Open Sans Light" w:cs="Open Sans Light"/>
        </w:rPr>
        <w:t xml:space="preserve">; </w:t>
      </w:r>
    </w:p>
    <w:p w14:paraId="11174D31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>Optymalizacja gospodarki surowcami i odpadami w przedsiębiorstwach w celu realizacji założeń GOZ</w:t>
      </w:r>
      <w:r>
        <w:rPr>
          <w:rFonts w:ascii="Open Sans Light" w:eastAsia="Calibri" w:hAnsi="Open Sans Light" w:cs="Open Sans Light"/>
        </w:rPr>
        <w:t xml:space="preserve">; </w:t>
      </w:r>
    </w:p>
    <w:p w14:paraId="45F91A13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Zapobieganie powstawaniu odpadów żywności poprzez wykorzystanie niesprzedanych produktów spożywczych lub produktów spożywczych o krótkim terminie przydatności do spożycia</w:t>
      </w:r>
      <w:r>
        <w:rPr>
          <w:rFonts w:ascii="Open Sans Light" w:eastAsia="Calibri" w:hAnsi="Open Sans Light" w:cs="Open Sans Light"/>
        </w:rPr>
        <w:t xml:space="preserve">; </w:t>
      </w:r>
    </w:p>
    <w:p w14:paraId="006A2C80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 xml:space="preserve">nie stosuje się dostępności cenowej. </w:t>
      </w:r>
    </w:p>
    <w:p w14:paraId="0439E15A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lastRenderedPageBreak/>
        <w:t xml:space="preserve">Natomiast, dla </w:t>
      </w:r>
      <w:r w:rsidRPr="00D45604">
        <w:rPr>
          <w:rFonts w:ascii="Open Sans Light" w:eastAsia="Calibri" w:hAnsi="Open Sans Light" w:cs="Open Sans Light"/>
        </w:rPr>
        <w:t>działania FENX.01.04. Gospodarka odpadami oraz gospodarka o obiegu zamkniętym</w:t>
      </w:r>
      <w:r>
        <w:rPr>
          <w:rFonts w:ascii="Open Sans Light" w:eastAsia="Calibri" w:hAnsi="Open Sans Light" w:cs="Open Sans Light"/>
        </w:rPr>
        <w:t>, dla typu projektu:</w:t>
      </w:r>
    </w:p>
    <w:p w14:paraId="3B86EBAD" w14:textId="77777777" w:rsidR="00051C99" w:rsidRPr="00E64C7D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Instalacje do przetwarzania odpadów komunalnych zgodnie z hierarchią sposobów postępowania z odpadami </w:t>
      </w:r>
    </w:p>
    <w:p w14:paraId="420C10BD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przyjąć do stosowania regulacje dotyczące dostępności cenowej, zgodnie z zapisami następujących dokumentów:</w:t>
      </w:r>
    </w:p>
    <w:p w14:paraId="63EB08C9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„</w:t>
      </w:r>
      <w:r w:rsidRPr="00E64C7D">
        <w:rPr>
          <w:rFonts w:ascii="Open Sans Light" w:eastAsia="Calibri" w:hAnsi="Open Sans Light" w:cs="Open Sans Light"/>
        </w:rPr>
        <w:t>Wytyczne dotyczące zagadnień związanych z przygotowaniem projektów inwestycyjnych, w tym hybrydowych na lata 2021-2027</w:t>
      </w:r>
      <w:r>
        <w:rPr>
          <w:rFonts w:ascii="Open Sans Light" w:eastAsia="Calibri" w:hAnsi="Open Sans Light" w:cs="Open Sans Light"/>
        </w:rPr>
        <w:t xml:space="preserve">”; </w:t>
      </w:r>
    </w:p>
    <w:p w14:paraId="4ABCF6F6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„Metodyka zastosowania kryterium dostępności cenowej w projektach inwestycyjnych z dofinansowaniem UE” </w:t>
      </w:r>
      <w:r>
        <w:rPr>
          <w:rFonts w:ascii="Open Sans Light" w:eastAsia="Calibri" w:hAnsi="Open Sans Light" w:cs="Open Sans Light"/>
        </w:rPr>
        <w:t xml:space="preserve">- </w:t>
      </w:r>
      <w:r w:rsidRPr="00E64C7D">
        <w:rPr>
          <w:rFonts w:ascii="Open Sans Light" w:eastAsia="Calibri" w:hAnsi="Open Sans Light" w:cs="Open Sans Light"/>
        </w:rPr>
        <w:t xml:space="preserve">dostępny pod linkiem: </w:t>
      </w:r>
    </w:p>
    <w:p w14:paraId="4E5B2371" w14:textId="77777777" w:rsidR="00051C99" w:rsidRDefault="00051C99" w:rsidP="00051C99">
      <w:pPr>
        <w:pStyle w:val="Akapitzlist"/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D45604">
        <w:rPr>
          <w:rFonts w:ascii="Open Sans Light" w:eastAsia="Calibri" w:hAnsi="Open Sans Light" w:cs="Open Sans Light"/>
        </w:rPr>
        <w:t>(</w:t>
      </w:r>
      <w:hyperlink r:id="rId9" w:history="1">
        <w:r w:rsidRPr="006A552A">
          <w:rPr>
            <w:rStyle w:val="Hipercze"/>
            <w:rFonts w:ascii="Open Sans Light" w:eastAsia="Calibri" w:hAnsi="Open Sans Light" w:cs="Open Sans Light"/>
          </w:rPr>
          <w:t>https://www.funduszeeuropejskie.gov.pl/media/119589/Metodyka-zastosowania-kryterium-dostepnosci-cenowej-w-projektach-inwestycyjnych-z-dofinansowaniem-UE-2.pdf</w:t>
        </w:r>
      </w:hyperlink>
      <w:r w:rsidRPr="00D45604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t>.</w:t>
      </w:r>
    </w:p>
    <w:p w14:paraId="196B8B5B" w14:textId="77777777" w:rsidR="00051C99" w:rsidRPr="00E64C7D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Oprócz standardowego </w:t>
      </w:r>
      <w:r w:rsidRPr="00DD62B3">
        <w:rPr>
          <w:rFonts w:ascii="Open Sans Light" w:eastAsia="Calibri" w:hAnsi="Open Sans Light" w:cs="Open Sans Light"/>
        </w:rPr>
        <w:t xml:space="preserve">zastosowania kryterium dostępności cenowej (ang. </w:t>
      </w:r>
      <w:r w:rsidRPr="00E64C7D">
        <w:rPr>
          <w:rFonts w:ascii="Open Sans Light" w:eastAsia="Calibri" w:hAnsi="Open Sans Light" w:cs="Open Sans Light"/>
          <w:i/>
          <w:iCs/>
        </w:rPr>
        <w:t>affordability</w:t>
      </w:r>
      <w:r w:rsidRPr="00DD62B3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br/>
      </w:r>
      <w:r w:rsidRPr="00DD62B3">
        <w:rPr>
          <w:rFonts w:ascii="Open Sans Light" w:eastAsia="Calibri" w:hAnsi="Open Sans Light" w:cs="Open Sans Light"/>
        </w:rPr>
        <w:t>w trakcie kalkulacji poziomu opłaty dla odbiorców za usługi związane z</w:t>
      </w:r>
      <w:r>
        <w:rPr>
          <w:rFonts w:ascii="Open Sans Light" w:eastAsia="Calibri" w:hAnsi="Open Sans Light" w:cs="Open Sans Light"/>
        </w:rPr>
        <w:t xml:space="preserve"> </w:t>
      </w:r>
      <w:r w:rsidRPr="00DD62B3">
        <w:rPr>
          <w:rFonts w:ascii="Open Sans Light" w:eastAsia="Calibri" w:hAnsi="Open Sans Light" w:cs="Open Sans Light"/>
        </w:rPr>
        <w:t>gospodarowanie</w:t>
      </w:r>
      <w:r>
        <w:rPr>
          <w:rFonts w:ascii="Open Sans Light" w:eastAsia="Calibri" w:hAnsi="Open Sans Light" w:cs="Open Sans Light"/>
        </w:rPr>
        <w:t xml:space="preserve">m </w:t>
      </w:r>
      <w:r w:rsidRPr="00DD62B3">
        <w:rPr>
          <w:rFonts w:ascii="Open Sans Light" w:eastAsia="Calibri" w:hAnsi="Open Sans Light" w:cs="Open Sans Light"/>
        </w:rPr>
        <w:t>odpadami komunalnymi na potrzeby analizy finansowej</w:t>
      </w:r>
      <w:r>
        <w:rPr>
          <w:rFonts w:ascii="Open Sans Light" w:eastAsia="Calibri" w:hAnsi="Open Sans Light" w:cs="Open Sans Light"/>
        </w:rPr>
        <w:t xml:space="preserve">, zaleca się wykorzystanie dostępności cenowej również w analizie trwałości projektu oraz w analizie ryzyka. </w:t>
      </w:r>
    </w:p>
    <w:p w14:paraId="4DCDEBB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FD8942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 DGC</w:t>
      </w:r>
    </w:p>
    <w:p w14:paraId="62B8CA1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do jednolitego stosowania regulacje dotyczące przeprowadzania analiz efektywności kosztowej zgodnie z dokumentem „</w:t>
      </w:r>
      <w:r w:rsidRPr="00987AD1">
        <w:rPr>
          <w:rFonts w:ascii="Open Sans Light" w:eastAsia="Calibri" w:hAnsi="Open Sans Light" w:cs="Open Sans Light"/>
          <w:i/>
          <w:iCs/>
        </w:rPr>
        <w:t>Metodyka analizy efektywności kosztowej w oparciu o wskaźnik dynamicznego kosztu jednostkowego (Dynamic Generation Cost)</w:t>
      </w:r>
      <w:r w:rsidRPr="00987AD1">
        <w:rPr>
          <w:rFonts w:ascii="Open Sans Light" w:eastAsia="Calibri" w:hAnsi="Open Sans Light" w:cs="Open Sans Light"/>
        </w:rPr>
        <w:t>”.</w:t>
      </w:r>
    </w:p>
    <w:p w14:paraId="662D2B5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DE5A7A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VII. Uproszczenia w zależności od wartości kosztów całkowitych projektu.</w:t>
      </w:r>
    </w:p>
    <w:p w14:paraId="1E5D070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71E3B09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Czyli, w ujęciu finansowym są to koszty brutto (koszt brutto = koszty netto + podatek VAT). </w:t>
      </w:r>
    </w:p>
    <w:p w14:paraId="46FBA11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3E6108B0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2B972D64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61B52CEB" w14:textId="77777777" w:rsidR="00051C99" w:rsidRPr="00987AD1" w:rsidRDefault="00051C99" w:rsidP="00051C99">
      <w:pPr>
        <w:pStyle w:val="NormalnyWeb"/>
        <w:spacing w:after="120" w:afterAutospacing="0" w:line="276" w:lineRule="auto"/>
        <w:rPr>
          <w:rStyle w:val="font-weight-bold"/>
          <w:rFonts w:ascii="Open Sans Light" w:hAnsi="Open Sans Light" w:cs="Open Sans Light"/>
          <w:sz w:val="22"/>
          <w:szCs w:val="22"/>
        </w:rPr>
      </w:pPr>
    </w:p>
    <w:p w14:paraId="77FE7AAE" w14:textId="1B698F67" w:rsidR="00A06325" w:rsidRPr="00987AD1" w:rsidRDefault="00A06325" w:rsidP="00051C99">
      <w:pPr>
        <w:spacing w:after="0" w:line="276" w:lineRule="auto"/>
        <w:contextualSpacing/>
        <w:jc w:val="both"/>
        <w:rPr>
          <w:rStyle w:val="font-weight-bold"/>
          <w:rFonts w:ascii="Open Sans Light" w:hAnsi="Open Sans Light" w:cs="Open Sans Light"/>
        </w:rPr>
      </w:pPr>
    </w:p>
    <w:sectPr w:rsidR="00A06325" w:rsidRPr="00987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2B211" w14:textId="77777777" w:rsidR="006918FB" w:rsidRDefault="006918FB" w:rsidP="00F17459">
      <w:pPr>
        <w:spacing w:after="0" w:line="240" w:lineRule="auto"/>
      </w:pPr>
      <w:r>
        <w:separator/>
      </w:r>
    </w:p>
  </w:endnote>
  <w:endnote w:type="continuationSeparator" w:id="0">
    <w:p w14:paraId="230FBFFD" w14:textId="77777777" w:rsidR="006918FB" w:rsidRDefault="006918FB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632E8" w14:textId="77777777" w:rsidR="006918FB" w:rsidRDefault="006918FB" w:rsidP="00F17459">
      <w:pPr>
        <w:spacing w:after="0" w:line="240" w:lineRule="auto"/>
      </w:pPr>
      <w:r>
        <w:separator/>
      </w:r>
    </w:p>
  </w:footnote>
  <w:footnote w:type="continuationSeparator" w:id="0">
    <w:p w14:paraId="7F9D0E43" w14:textId="77777777" w:rsidR="006918FB" w:rsidRDefault="006918FB" w:rsidP="00F17459">
      <w:pPr>
        <w:spacing w:after="0" w:line="240" w:lineRule="auto"/>
      </w:pPr>
      <w:r>
        <w:continuationSeparator/>
      </w:r>
    </w:p>
  </w:footnote>
  <w:footnote w:id="1">
    <w:p w14:paraId="25292A3C" w14:textId="77777777" w:rsidR="00DF359B" w:rsidRDefault="00DF359B" w:rsidP="00DF359B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746039C" w14:textId="77777777" w:rsidR="00DF359B" w:rsidRDefault="00DF359B" w:rsidP="00DF359B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1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38"/>
  </w:num>
  <w:num w:numId="8">
    <w:abstractNumId w:val="23"/>
  </w:num>
  <w:num w:numId="9">
    <w:abstractNumId w:val="41"/>
  </w:num>
  <w:num w:numId="10">
    <w:abstractNumId w:val="5"/>
  </w:num>
  <w:num w:numId="11">
    <w:abstractNumId w:val="9"/>
  </w:num>
  <w:num w:numId="12">
    <w:abstractNumId w:val="39"/>
  </w:num>
  <w:num w:numId="13">
    <w:abstractNumId w:val="31"/>
  </w:num>
  <w:num w:numId="14">
    <w:abstractNumId w:val="15"/>
  </w:num>
  <w:num w:numId="15">
    <w:abstractNumId w:val="34"/>
  </w:num>
  <w:num w:numId="16">
    <w:abstractNumId w:val="6"/>
  </w:num>
  <w:num w:numId="17">
    <w:abstractNumId w:val="29"/>
  </w:num>
  <w:num w:numId="18">
    <w:abstractNumId w:val="4"/>
  </w:num>
  <w:num w:numId="19">
    <w:abstractNumId w:val="37"/>
  </w:num>
  <w:num w:numId="20">
    <w:abstractNumId w:val="2"/>
  </w:num>
  <w:num w:numId="21">
    <w:abstractNumId w:val="26"/>
  </w:num>
  <w:num w:numId="22">
    <w:abstractNumId w:val="11"/>
  </w:num>
  <w:num w:numId="23">
    <w:abstractNumId w:val="40"/>
  </w:num>
  <w:num w:numId="24">
    <w:abstractNumId w:val="20"/>
  </w:num>
  <w:num w:numId="25">
    <w:abstractNumId w:val="28"/>
  </w:num>
  <w:num w:numId="26">
    <w:abstractNumId w:val="21"/>
  </w:num>
  <w:num w:numId="27">
    <w:abstractNumId w:val="3"/>
  </w:num>
  <w:num w:numId="28">
    <w:abstractNumId w:val="8"/>
  </w:num>
  <w:num w:numId="29">
    <w:abstractNumId w:val="30"/>
  </w:num>
  <w:num w:numId="30">
    <w:abstractNumId w:val="18"/>
  </w:num>
  <w:num w:numId="31">
    <w:abstractNumId w:val="32"/>
  </w:num>
  <w:num w:numId="32">
    <w:abstractNumId w:val="25"/>
  </w:num>
  <w:num w:numId="33">
    <w:abstractNumId w:val="14"/>
  </w:num>
  <w:num w:numId="34">
    <w:abstractNumId w:val="0"/>
  </w:num>
  <w:num w:numId="35">
    <w:abstractNumId w:val="10"/>
  </w:num>
  <w:num w:numId="36">
    <w:abstractNumId w:val="1"/>
  </w:num>
  <w:num w:numId="37">
    <w:abstractNumId w:val="22"/>
  </w:num>
  <w:num w:numId="38">
    <w:abstractNumId w:val="27"/>
  </w:num>
  <w:num w:numId="39">
    <w:abstractNumId w:val="35"/>
  </w:num>
  <w:num w:numId="40">
    <w:abstractNumId w:val="33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33CD7"/>
    <w:rsid w:val="00051C99"/>
    <w:rsid w:val="0005256A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398F"/>
    <w:rsid w:val="0010766B"/>
    <w:rsid w:val="00140CFA"/>
    <w:rsid w:val="00173E19"/>
    <w:rsid w:val="00183A7B"/>
    <w:rsid w:val="00183B69"/>
    <w:rsid w:val="001935C4"/>
    <w:rsid w:val="001B6C66"/>
    <w:rsid w:val="001D74F3"/>
    <w:rsid w:val="001E12A1"/>
    <w:rsid w:val="001E487C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766F"/>
    <w:rsid w:val="00327C1F"/>
    <w:rsid w:val="0035339B"/>
    <w:rsid w:val="003554F5"/>
    <w:rsid w:val="003570B6"/>
    <w:rsid w:val="00357143"/>
    <w:rsid w:val="00367E2A"/>
    <w:rsid w:val="003911AE"/>
    <w:rsid w:val="00391EB7"/>
    <w:rsid w:val="00394E1F"/>
    <w:rsid w:val="003A3FFD"/>
    <w:rsid w:val="003B7AD6"/>
    <w:rsid w:val="003C3723"/>
    <w:rsid w:val="003D4C06"/>
    <w:rsid w:val="003D4D63"/>
    <w:rsid w:val="003D500C"/>
    <w:rsid w:val="003F03A3"/>
    <w:rsid w:val="003F07D5"/>
    <w:rsid w:val="00430392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73E"/>
    <w:rsid w:val="00586813"/>
    <w:rsid w:val="005954D7"/>
    <w:rsid w:val="005A46D2"/>
    <w:rsid w:val="005A67A4"/>
    <w:rsid w:val="005E536F"/>
    <w:rsid w:val="005E61B1"/>
    <w:rsid w:val="005E7410"/>
    <w:rsid w:val="005F6B45"/>
    <w:rsid w:val="00623C04"/>
    <w:rsid w:val="0063621E"/>
    <w:rsid w:val="00661D46"/>
    <w:rsid w:val="00676D33"/>
    <w:rsid w:val="006918FB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70C90"/>
    <w:rsid w:val="00783B0B"/>
    <w:rsid w:val="007862C6"/>
    <w:rsid w:val="00796B8A"/>
    <w:rsid w:val="007A0820"/>
    <w:rsid w:val="007A4D50"/>
    <w:rsid w:val="007B1448"/>
    <w:rsid w:val="007C20D7"/>
    <w:rsid w:val="007C3B3C"/>
    <w:rsid w:val="007C5039"/>
    <w:rsid w:val="007D0EF5"/>
    <w:rsid w:val="007D2632"/>
    <w:rsid w:val="007F1C36"/>
    <w:rsid w:val="008021B6"/>
    <w:rsid w:val="00827945"/>
    <w:rsid w:val="0083249D"/>
    <w:rsid w:val="0085004A"/>
    <w:rsid w:val="00860B92"/>
    <w:rsid w:val="008664C9"/>
    <w:rsid w:val="008B4593"/>
    <w:rsid w:val="008B6501"/>
    <w:rsid w:val="008E0B90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A009DE"/>
    <w:rsid w:val="00A03393"/>
    <w:rsid w:val="00A061AB"/>
    <w:rsid w:val="00A06325"/>
    <w:rsid w:val="00A214A9"/>
    <w:rsid w:val="00A229F1"/>
    <w:rsid w:val="00A31A0E"/>
    <w:rsid w:val="00A33395"/>
    <w:rsid w:val="00A41E27"/>
    <w:rsid w:val="00A427FD"/>
    <w:rsid w:val="00A4318A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7E3"/>
    <w:rsid w:val="00AE09F9"/>
    <w:rsid w:val="00AE1AF1"/>
    <w:rsid w:val="00AE4233"/>
    <w:rsid w:val="00AE756D"/>
    <w:rsid w:val="00AF6091"/>
    <w:rsid w:val="00B0327A"/>
    <w:rsid w:val="00B15B66"/>
    <w:rsid w:val="00B20067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6FF0"/>
    <w:rsid w:val="00BB7FB5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8592C"/>
    <w:rsid w:val="00DA0D37"/>
    <w:rsid w:val="00DB2820"/>
    <w:rsid w:val="00DC3FD9"/>
    <w:rsid w:val="00DC4BDF"/>
    <w:rsid w:val="00DC545D"/>
    <w:rsid w:val="00DD09B8"/>
    <w:rsid w:val="00DD34E4"/>
    <w:rsid w:val="00DD628D"/>
    <w:rsid w:val="00DD6AB1"/>
    <w:rsid w:val="00DE2DD6"/>
    <w:rsid w:val="00DF359B"/>
    <w:rsid w:val="00E01835"/>
    <w:rsid w:val="00E12060"/>
    <w:rsid w:val="00E2417C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7ADD"/>
    <w:rsid w:val="00F62213"/>
    <w:rsid w:val="00F70078"/>
    <w:rsid w:val="00F8413D"/>
    <w:rsid w:val="00F9078E"/>
    <w:rsid w:val="00F90899"/>
    <w:rsid w:val="00F90DE5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9589/Metodyka-zastosowania-kryterium-dostepnosci-cenowej-w-projektach-inwestycyjnych-z-dofinansowaniem-UE-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9B36F-75BE-41D8-82CA-C1CDAB07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3240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22641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7</cp:revision>
  <dcterms:created xsi:type="dcterms:W3CDTF">2024-03-26T12:50:00Z</dcterms:created>
  <dcterms:modified xsi:type="dcterms:W3CDTF">2024-04-09T10:47:00Z</dcterms:modified>
</cp:coreProperties>
</file>